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70" w:rsidRDefault="00544770"/>
    <w:p w:rsidR="00A2299B" w:rsidRDefault="00A2299B">
      <w:r>
        <w:t>VITA ROYAL AS</w:t>
      </w:r>
    </w:p>
    <w:p w:rsidR="00A2299B" w:rsidRDefault="00A2299B"/>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xml:space="preserve">Vita </w:t>
      </w:r>
      <w:proofErr w:type="spellStart"/>
      <w:r w:rsidRPr="00A2299B">
        <w:rPr>
          <w:rFonts w:ascii="Arial" w:eastAsia="Times New Roman" w:hAnsi="Arial" w:cs="Arial"/>
          <w:color w:val="3F3F3F"/>
          <w:sz w:val="15"/>
          <w:szCs w:val="15"/>
          <w:lang w:eastAsia="sl-SI"/>
        </w:rPr>
        <w:t>Royal</w:t>
      </w:r>
      <w:proofErr w:type="spellEnd"/>
      <w:r w:rsidRPr="00A2299B">
        <w:rPr>
          <w:rFonts w:ascii="Arial" w:eastAsia="Times New Roman" w:hAnsi="Arial" w:cs="Arial"/>
          <w:color w:val="3F3F3F"/>
          <w:sz w:val="15"/>
          <w:szCs w:val="15"/>
          <w:lang w:eastAsia="sl-SI"/>
        </w:rPr>
        <w:t xml:space="preserve"> AS lahko oblikujete po svoji meri in skozi življenje prilagajate svojim željam, potrebam in različnim finančnim situacijam.</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b/>
          <w:bCs/>
          <w:color w:val="3F3F3F"/>
          <w:sz w:val="15"/>
          <w:szCs w:val="15"/>
          <w:lang w:eastAsia="sl-SI"/>
        </w:rPr>
        <w:t xml:space="preserve">Zakaj potrebujete zavarovanje Vita </w:t>
      </w:r>
      <w:proofErr w:type="spellStart"/>
      <w:r w:rsidRPr="00A2299B">
        <w:rPr>
          <w:rFonts w:ascii="Arial" w:eastAsia="Times New Roman" w:hAnsi="Arial" w:cs="Arial"/>
          <w:b/>
          <w:bCs/>
          <w:color w:val="3F3F3F"/>
          <w:sz w:val="15"/>
          <w:szCs w:val="15"/>
          <w:lang w:eastAsia="sl-SI"/>
        </w:rPr>
        <w:t>Royal</w:t>
      </w:r>
      <w:proofErr w:type="spellEnd"/>
      <w:r w:rsidRPr="00A2299B">
        <w:rPr>
          <w:rFonts w:ascii="Arial" w:eastAsia="Times New Roman" w:hAnsi="Arial" w:cs="Arial"/>
          <w:b/>
          <w:bCs/>
          <w:color w:val="3F3F3F"/>
          <w:sz w:val="15"/>
          <w:szCs w:val="15"/>
          <w:lang w:eastAsia="sl-SI"/>
        </w:rPr>
        <w:t xml:space="preserve"> AS?</w:t>
      </w:r>
    </w:p>
    <w:p w:rsidR="00A2299B" w:rsidRPr="00A2299B" w:rsidRDefault="00A2299B" w:rsidP="00A2299B">
      <w:pPr>
        <w:numPr>
          <w:ilvl w:val="0"/>
          <w:numId w:val="1"/>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ker ste na vsakem koraku izpostavljeni določenim nevarnostim, kot so bolezen, nezgoda in tudi smrt,</w:t>
      </w:r>
    </w:p>
    <w:p w:rsidR="00A2299B" w:rsidRPr="00A2299B" w:rsidRDefault="00A2299B" w:rsidP="00A2299B">
      <w:pPr>
        <w:numPr>
          <w:ilvl w:val="0"/>
          <w:numId w:val="1"/>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ker imate nepreskrbljene otroke,</w:t>
      </w:r>
    </w:p>
    <w:p w:rsidR="00A2299B" w:rsidRPr="00A2299B" w:rsidRDefault="00A2299B" w:rsidP="00A2299B">
      <w:pPr>
        <w:numPr>
          <w:ilvl w:val="0"/>
          <w:numId w:val="1"/>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ker ste najeli kredit za nakup stanovanja,</w:t>
      </w:r>
    </w:p>
    <w:p w:rsidR="00A2299B" w:rsidRPr="00A2299B" w:rsidRDefault="00A2299B" w:rsidP="00A2299B">
      <w:pPr>
        <w:numPr>
          <w:ilvl w:val="0"/>
          <w:numId w:val="1"/>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ker bodo vaši otroci potrebovali sredstva za študij,</w:t>
      </w:r>
    </w:p>
    <w:p w:rsidR="00A2299B" w:rsidRPr="00A2299B" w:rsidRDefault="00A2299B" w:rsidP="00A2299B">
      <w:pPr>
        <w:numPr>
          <w:ilvl w:val="0"/>
          <w:numId w:val="1"/>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ker ste izpostavljeni nevarnostim pri opravljanju poklica,</w:t>
      </w:r>
    </w:p>
    <w:p w:rsidR="00A2299B" w:rsidRPr="00A2299B" w:rsidRDefault="00A2299B" w:rsidP="00A2299B">
      <w:pPr>
        <w:numPr>
          <w:ilvl w:val="0"/>
          <w:numId w:val="1"/>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ker ste ustanovili svoje podjetje,</w:t>
      </w:r>
    </w:p>
    <w:p w:rsidR="00A2299B" w:rsidRPr="00A2299B" w:rsidRDefault="00A2299B" w:rsidP="00A2299B">
      <w:pPr>
        <w:numPr>
          <w:ilvl w:val="0"/>
          <w:numId w:val="1"/>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ker ste mati samohranilka,</w:t>
      </w:r>
    </w:p>
    <w:p w:rsidR="00A2299B" w:rsidRPr="00A2299B" w:rsidRDefault="00A2299B" w:rsidP="00A2299B">
      <w:pPr>
        <w:numPr>
          <w:ilvl w:val="0"/>
          <w:numId w:val="1"/>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ker je vaš/-a partner/-</w:t>
      </w:r>
      <w:proofErr w:type="spellStart"/>
      <w:r w:rsidRPr="00A2299B">
        <w:rPr>
          <w:rFonts w:ascii="Arial" w:eastAsia="Times New Roman" w:hAnsi="Arial" w:cs="Arial"/>
          <w:color w:val="3F3F3F"/>
          <w:sz w:val="15"/>
          <w:szCs w:val="15"/>
          <w:lang w:eastAsia="sl-SI"/>
        </w:rPr>
        <w:t>ka</w:t>
      </w:r>
      <w:proofErr w:type="spellEnd"/>
      <w:r w:rsidRPr="00A2299B">
        <w:rPr>
          <w:rFonts w:ascii="Arial" w:eastAsia="Times New Roman" w:hAnsi="Arial" w:cs="Arial"/>
          <w:color w:val="3F3F3F"/>
          <w:sz w:val="15"/>
          <w:szCs w:val="15"/>
          <w:lang w:eastAsia="sl-SI"/>
        </w:rPr>
        <w:t xml:space="preserve"> brez zaposlitve in ste edini vir dohodka v družini,</w:t>
      </w:r>
    </w:p>
    <w:p w:rsidR="00A2299B" w:rsidRPr="00A2299B" w:rsidRDefault="00A2299B" w:rsidP="00A2299B">
      <w:pPr>
        <w:numPr>
          <w:ilvl w:val="0"/>
          <w:numId w:val="1"/>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ker morate varčevati za svojo pokojnino.</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b/>
          <w:bCs/>
          <w:color w:val="3F3F3F"/>
          <w:sz w:val="15"/>
          <w:szCs w:val="15"/>
          <w:lang w:eastAsia="sl-SI"/>
        </w:rPr>
        <w:t>Kdaj skleniti zavarovanje?</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Čim prej, čeprav nikoli ni prepozno. Priporočljivo je, da se za to zavarovanje odločajo mladi in si tako dovolj zgodaj zagotovijo ustrezno zavarovalno zaščito in finančno varnost zase in za svojo družino. Zavarovanje lahko kasneje dopolnite glede na različne življenjske dogodke, kot so poroka, nakup stanovanja, rojstvo otroka, bolezenski in nezgodni dogodki, izdatki za študij otrok, upokojitev in podobno.</w:t>
      </w:r>
      <w:r w:rsidRPr="00A2299B">
        <w:rPr>
          <w:rFonts w:ascii="Arial" w:eastAsia="Times New Roman" w:hAnsi="Arial" w:cs="Arial"/>
          <w:color w:val="3F3F3F"/>
          <w:sz w:val="15"/>
          <w:szCs w:val="15"/>
          <w:lang w:eastAsia="sl-SI"/>
        </w:rPr>
        <w:br/>
      </w:r>
      <w:r w:rsidRPr="00A2299B">
        <w:rPr>
          <w:rFonts w:ascii="Arial" w:eastAsia="Times New Roman" w:hAnsi="Arial" w:cs="Arial"/>
          <w:b/>
          <w:bCs/>
          <w:color w:val="3F3F3F"/>
          <w:sz w:val="15"/>
          <w:szCs w:val="15"/>
          <w:lang w:eastAsia="sl-SI"/>
        </w:rPr>
        <w:br/>
        <w:t xml:space="preserve">Prednosti zavarovanja Vita </w:t>
      </w:r>
      <w:proofErr w:type="spellStart"/>
      <w:r w:rsidRPr="00A2299B">
        <w:rPr>
          <w:rFonts w:ascii="Arial" w:eastAsia="Times New Roman" w:hAnsi="Arial" w:cs="Arial"/>
          <w:b/>
          <w:bCs/>
          <w:color w:val="3F3F3F"/>
          <w:sz w:val="15"/>
          <w:szCs w:val="15"/>
          <w:lang w:eastAsia="sl-SI"/>
        </w:rPr>
        <w:t>Royal</w:t>
      </w:r>
      <w:proofErr w:type="spellEnd"/>
      <w:r w:rsidRPr="00A2299B">
        <w:rPr>
          <w:rFonts w:ascii="Arial" w:eastAsia="Times New Roman" w:hAnsi="Arial" w:cs="Arial"/>
          <w:b/>
          <w:bCs/>
          <w:color w:val="3F3F3F"/>
          <w:sz w:val="15"/>
          <w:szCs w:val="15"/>
          <w:lang w:eastAsia="sl-SI"/>
        </w:rPr>
        <w:t xml:space="preserve"> AS:</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prilagajanje premije in zavarovalne vsote trenutnim življenjskim okoliščinam,</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kratkoročne in dolgoročne rešitve v primeru nezmožnosti plačevanja premije (avtomatični predujem, kapitalizacija zavarovanja, sprememba kritij),</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povišanje zavarovalne vsote brez ugotavljanja zdravstvenega stanja (poroka, rojstvo, najem posojila za rešitev stanovanjskega problema),</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ohranjanje realne vrednosti zavarovanja z indeksacijo premije in zavarovalnih vsot,</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možnost preoblikovanja v zavarovanje za primer smrti,</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izplačilo predujma - čeprav se zdijo zneski postopnega varčevanja na prvi pogled nizki, lahko postopoma privarčujete dovolj denarja in izkoristite predčasno izplačilo dela vrednosti police,</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možnost izplačila presežka v denarju ali v obliki dokupa zavarovalne vsote,</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izplačilo denarne nagrade ob rojstvu otroka,</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možnost uporabe zavarovalne vsote ob doživetju - s privarčevanimi sredstvi lahko zapolnite finančno vrzel ob upokojitvi ali pa jih uporabite kot naložbo v otroka - že z majhnim zneskom mu boste pomagali do boljše izobrazbe, podarili polog za nakup stanovanja, namenili denar za štipendijo vnuka ipd.,</w:t>
      </w:r>
    </w:p>
    <w:p w:rsidR="00A2299B" w:rsidRPr="00A2299B" w:rsidRDefault="00A2299B" w:rsidP="00A2299B">
      <w:pPr>
        <w:numPr>
          <w:ilvl w:val="0"/>
          <w:numId w:val="2"/>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priključitev dodatnega nezgodnega zavarovanja zavarovane osebe in otrok.</w:t>
      </w:r>
    </w:p>
    <w:p w:rsidR="00A2299B" w:rsidRDefault="00A2299B"/>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xml:space="preserve">Peter (30 let) in Mateja (25 let), mladi par, sta sklenila zavarovanje Vita </w:t>
      </w:r>
      <w:proofErr w:type="spellStart"/>
      <w:r w:rsidRPr="00A2299B">
        <w:rPr>
          <w:rFonts w:ascii="Arial" w:eastAsia="Times New Roman" w:hAnsi="Arial" w:cs="Arial"/>
          <w:color w:val="3F3F3F"/>
          <w:sz w:val="15"/>
          <w:szCs w:val="15"/>
          <w:lang w:eastAsia="sl-SI"/>
        </w:rPr>
        <w:t>Royal</w:t>
      </w:r>
      <w:proofErr w:type="spellEnd"/>
      <w:r w:rsidRPr="00A2299B">
        <w:rPr>
          <w:rFonts w:ascii="Arial" w:eastAsia="Times New Roman" w:hAnsi="Arial" w:cs="Arial"/>
          <w:color w:val="3F3F3F"/>
          <w:sz w:val="15"/>
          <w:szCs w:val="15"/>
          <w:lang w:eastAsia="sl-SI"/>
        </w:rPr>
        <w:t xml:space="preserve"> AS. Ob sklenitvi sta izbrala kritja glede na trenutne osebne in finančne zmožnosti. Imata sina Jana (3 leta) in v prihodnosti načrtujeta še enega otroka. Zaradi nakupa stanovanja sta najela kredit.</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Predstavljamo vam zavarovanje, ki zagotavlja družini njihovo osnovno varnost:</w:t>
      </w:r>
    </w:p>
    <w:tbl>
      <w:tblPr>
        <w:tblW w:w="5000" w:type="pct"/>
        <w:tblCellSpacing w:w="15" w:type="dxa"/>
        <w:tblCellMar>
          <w:top w:w="15" w:type="dxa"/>
          <w:left w:w="15" w:type="dxa"/>
          <w:bottom w:w="15" w:type="dxa"/>
          <w:right w:w="15" w:type="dxa"/>
        </w:tblCellMar>
        <w:tblLook w:val="04A0"/>
      </w:tblPr>
      <w:tblGrid>
        <w:gridCol w:w="6447"/>
        <w:gridCol w:w="1465"/>
        <w:gridCol w:w="1480"/>
      </w:tblGrid>
      <w:tr w:rsidR="00A2299B" w:rsidRPr="00A2299B" w:rsidTr="00A2299B">
        <w:trPr>
          <w:tblHeader/>
          <w:tblCellSpacing w:w="15" w:type="dxa"/>
        </w:trPr>
        <w:tc>
          <w:tcPr>
            <w:tcW w:w="0" w:type="auto"/>
            <w:tcBorders>
              <w:top w:val="single" w:sz="2" w:space="0" w:color="FFFFFF"/>
              <w:left w:val="single" w:sz="2" w:space="0" w:color="FFFFFF"/>
              <w:bottom w:val="single" w:sz="4" w:space="0" w:color="FFFFFF"/>
              <w:right w:val="single" w:sz="2" w:space="0" w:color="FFFFFF"/>
            </w:tcBorders>
            <w:shd w:val="clear" w:color="auto" w:fill="46B2E8"/>
            <w:tcMar>
              <w:top w:w="88" w:type="dxa"/>
              <w:left w:w="125" w:type="dxa"/>
              <w:bottom w:w="88"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FFFFFF"/>
                <w:sz w:val="15"/>
                <w:szCs w:val="15"/>
                <w:lang w:eastAsia="sl-SI"/>
              </w:rPr>
            </w:pPr>
            <w:r w:rsidRPr="00A2299B">
              <w:rPr>
                <w:rFonts w:ascii="Arial" w:eastAsia="Times New Roman" w:hAnsi="Arial" w:cs="Arial"/>
                <w:b/>
                <w:bCs/>
                <w:color w:val="FFFFFF"/>
                <w:sz w:val="15"/>
                <w:szCs w:val="15"/>
                <w:lang w:eastAsia="sl-SI"/>
              </w:rPr>
              <w:t>KRITJA</w:t>
            </w:r>
          </w:p>
        </w:tc>
        <w:tc>
          <w:tcPr>
            <w:tcW w:w="0" w:type="auto"/>
            <w:tcBorders>
              <w:top w:val="single" w:sz="2" w:space="0" w:color="FFFFFF"/>
              <w:left w:val="single" w:sz="4" w:space="0" w:color="FFFFFF"/>
              <w:bottom w:val="single" w:sz="4" w:space="0" w:color="FFFFFF"/>
              <w:right w:val="single" w:sz="2" w:space="0" w:color="FFFFFF"/>
            </w:tcBorders>
            <w:shd w:val="clear" w:color="auto" w:fill="46B2E8"/>
            <w:tcMar>
              <w:top w:w="88" w:type="dxa"/>
              <w:left w:w="125" w:type="dxa"/>
              <w:bottom w:w="88"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FFFFFF"/>
                <w:sz w:val="15"/>
                <w:szCs w:val="15"/>
                <w:lang w:eastAsia="sl-SI"/>
              </w:rPr>
            </w:pPr>
            <w:r w:rsidRPr="00A2299B">
              <w:rPr>
                <w:rFonts w:ascii="Arial" w:eastAsia="Times New Roman" w:hAnsi="Arial" w:cs="Arial"/>
                <w:b/>
                <w:bCs/>
                <w:color w:val="FFFFFF"/>
                <w:sz w:val="15"/>
                <w:szCs w:val="15"/>
                <w:lang w:eastAsia="sl-SI"/>
              </w:rPr>
              <w:t>Mateja</w:t>
            </w:r>
          </w:p>
        </w:tc>
        <w:tc>
          <w:tcPr>
            <w:tcW w:w="0" w:type="auto"/>
            <w:tcBorders>
              <w:top w:val="single" w:sz="2" w:space="0" w:color="FFFFFF"/>
              <w:left w:val="single" w:sz="4" w:space="0" w:color="FFFFFF"/>
              <w:bottom w:val="single" w:sz="4" w:space="0" w:color="FFFFFF"/>
              <w:right w:val="single" w:sz="2" w:space="0" w:color="FFFFFF"/>
            </w:tcBorders>
            <w:shd w:val="clear" w:color="auto" w:fill="46B2E8"/>
            <w:tcMar>
              <w:top w:w="88" w:type="dxa"/>
              <w:left w:w="125" w:type="dxa"/>
              <w:bottom w:w="88"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FFFFFF"/>
                <w:sz w:val="15"/>
                <w:szCs w:val="15"/>
                <w:lang w:eastAsia="sl-SI"/>
              </w:rPr>
            </w:pPr>
            <w:r w:rsidRPr="00A2299B">
              <w:rPr>
                <w:rFonts w:ascii="Arial" w:eastAsia="Times New Roman" w:hAnsi="Arial" w:cs="Arial"/>
                <w:b/>
                <w:bCs/>
                <w:color w:val="FFFFFF"/>
                <w:sz w:val="15"/>
                <w:szCs w:val="15"/>
                <w:lang w:eastAsia="sl-SI"/>
              </w:rPr>
              <w:t>Peter</w:t>
            </w:r>
          </w:p>
        </w:tc>
      </w:tr>
      <w:tr w:rsidR="00A2299B" w:rsidRPr="00A2299B" w:rsidTr="00A2299B">
        <w:trPr>
          <w:tblCellSpacing w:w="15" w:type="dxa"/>
        </w:trPr>
        <w:tc>
          <w:tcPr>
            <w:tcW w:w="0" w:type="auto"/>
            <w:tcBorders>
              <w:top w:val="single" w:sz="2" w:space="0" w:color="C1C1C1"/>
              <w:left w:val="single" w:sz="2"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Zavarovanje v primeru smrti</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18.000 EUR</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18.000 EUR</w:t>
            </w:r>
          </w:p>
        </w:tc>
      </w:tr>
      <w:tr w:rsidR="00A2299B" w:rsidRPr="00A2299B" w:rsidTr="00A2299B">
        <w:trPr>
          <w:tblCellSpacing w:w="15" w:type="dxa"/>
        </w:trPr>
        <w:tc>
          <w:tcPr>
            <w:tcW w:w="0" w:type="auto"/>
            <w:tcBorders>
              <w:top w:val="single" w:sz="2" w:space="0" w:color="C1C1C1"/>
              <w:left w:val="single" w:sz="2"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Zajamčeno izplačilo ob doživetju</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18.000 EUR</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18.000 EUR</w:t>
            </w:r>
          </w:p>
        </w:tc>
      </w:tr>
      <w:tr w:rsidR="00A2299B" w:rsidRPr="00A2299B" w:rsidTr="00A2299B">
        <w:trPr>
          <w:tblCellSpacing w:w="15" w:type="dxa"/>
        </w:trPr>
        <w:tc>
          <w:tcPr>
            <w:tcW w:w="0" w:type="auto"/>
            <w:tcBorders>
              <w:top w:val="single" w:sz="2" w:space="0" w:color="C1C1C1"/>
              <w:left w:val="single" w:sz="2"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i/>
                <w:iCs/>
                <w:color w:val="3F3F3F"/>
                <w:sz w:val="15"/>
                <w:szCs w:val="15"/>
                <w:lang w:eastAsia="sl-SI"/>
              </w:rPr>
              <w:t>Predvideno izplačilo z donosi</w:t>
            </w:r>
            <w:r w:rsidRPr="00A2299B">
              <w:rPr>
                <w:rFonts w:ascii="Arial" w:eastAsia="Times New Roman" w:hAnsi="Arial" w:cs="Arial"/>
                <w:i/>
                <w:iCs/>
                <w:color w:val="3F3F3F"/>
                <w:sz w:val="15"/>
                <w:szCs w:val="15"/>
                <w:vertAlign w:val="superscript"/>
                <w:lang w:eastAsia="sl-SI"/>
              </w:rPr>
              <w:t>*</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29.395 EUR</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27.465 EUR</w:t>
            </w:r>
          </w:p>
        </w:tc>
      </w:tr>
      <w:tr w:rsidR="00A2299B" w:rsidRPr="00A2299B" w:rsidTr="00A2299B">
        <w:trPr>
          <w:tblCellSpacing w:w="15" w:type="dxa"/>
        </w:trPr>
        <w:tc>
          <w:tcPr>
            <w:tcW w:w="0" w:type="auto"/>
            <w:tcBorders>
              <w:top w:val="single" w:sz="2" w:space="0" w:color="C1C1C1"/>
              <w:left w:val="single" w:sz="2"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lastRenderedPageBreak/>
              <w:t>Dodatna zavarovalna vsota za smrt (zaradi najema kredita)</w:t>
            </w:r>
            <w:r w:rsidRPr="00A2299B">
              <w:rPr>
                <w:rFonts w:ascii="Arial" w:eastAsia="Times New Roman" w:hAnsi="Arial" w:cs="Arial"/>
                <w:b/>
                <w:bCs/>
                <w:color w:val="3F3F3F"/>
                <w:sz w:val="15"/>
                <w:lang w:eastAsia="sl-SI"/>
              </w:rPr>
              <w:t>**</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25.000 EUR</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10.000 EUR</w:t>
            </w:r>
          </w:p>
        </w:tc>
      </w:tr>
      <w:tr w:rsidR="00A2299B" w:rsidRPr="00A2299B" w:rsidTr="00A2299B">
        <w:trPr>
          <w:tblCellSpacing w:w="15" w:type="dxa"/>
        </w:trPr>
        <w:tc>
          <w:tcPr>
            <w:tcW w:w="0" w:type="auto"/>
            <w:tcBorders>
              <w:top w:val="single" w:sz="2" w:space="0" w:color="C1C1C1"/>
              <w:left w:val="single" w:sz="2"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b/>
                <w:bCs/>
                <w:color w:val="3F3F3F"/>
                <w:sz w:val="15"/>
                <w:szCs w:val="15"/>
                <w:lang w:eastAsia="sl-SI"/>
              </w:rPr>
              <w:t>Dodatno nezgodno zavarovanje: B paket</w:t>
            </w:r>
            <w:r w:rsidRPr="00A2299B">
              <w:rPr>
                <w:rFonts w:ascii="Arial" w:eastAsia="Times New Roman" w:hAnsi="Arial" w:cs="Arial"/>
                <w:b/>
                <w:bCs/>
                <w:color w:val="3F3F3F"/>
                <w:sz w:val="15"/>
                <w:szCs w:val="15"/>
                <w:lang w:eastAsia="sl-SI"/>
              </w:rPr>
              <w:br/>
            </w:r>
            <w:r w:rsidRPr="00A2299B">
              <w:rPr>
                <w:rFonts w:ascii="Arial" w:eastAsia="Times New Roman" w:hAnsi="Arial" w:cs="Arial"/>
                <w:color w:val="3F3F3F"/>
                <w:sz w:val="15"/>
                <w:szCs w:val="15"/>
                <w:lang w:eastAsia="sl-SI"/>
              </w:rPr>
              <w:t>Nezgodna smrt</w:t>
            </w:r>
            <w:r w:rsidRPr="00A2299B">
              <w:rPr>
                <w:rFonts w:ascii="Arial" w:eastAsia="Times New Roman" w:hAnsi="Arial" w:cs="Arial"/>
                <w:color w:val="3F3F3F"/>
                <w:sz w:val="15"/>
                <w:szCs w:val="15"/>
                <w:lang w:eastAsia="sl-SI"/>
              </w:rPr>
              <w:br/>
              <w:t>Smrt v prometni nesreči</w:t>
            </w:r>
            <w:r w:rsidRPr="00A2299B">
              <w:rPr>
                <w:rFonts w:ascii="Arial" w:eastAsia="Times New Roman" w:hAnsi="Arial" w:cs="Arial"/>
                <w:color w:val="3F3F3F"/>
                <w:sz w:val="15"/>
                <w:szCs w:val="15"/>
                <w:lang w:eastAsia="sl-SI"/>
              </w:rPr>
              <w:br/>
              <w:t>Invalidnost zaradi nezgode</w:t>
            </w:r>
            <w:r w:rsidRPr="00A2299B">
              <w:rPr>
                <w:rFonts w:ascii="Arial" w:eastAsia="Times New Roman" w:hAnsi="Arial" w:cs="Arial"/>
                <w:color w:val="3F3F3F"/>
                <w:sz w:val="15"/>
                <w:szCs w:val="15"/>
                <w:lang w:eastAsia="sl-SI"/>
              </w:rPr>
              <w:br/>
              <w:t>Enkratno izplačilo - bolnišnica zaradi nezgode</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br/>
              <w:t>40.000 EUR</w:t>
            </w:r>
            <w:r w:rsidRPr="00A2299B">
              <w:rPr>
                <w:rFonts w:ascii="Arial" w:eastAsia="Times New Roman" w:hAnsi="Arial" w:cs="Arial"/>
                <w:color w:val="3F3F3F"/>
                <w:sz w:val="15"/>
                <w:szCs w:val="15"/>
                <w:lang w:eastAsia="sl-SI"/>
              </w:rPr>
              <w:br/>
              <w:t>20.000 EUR</w:t>
            </w:r>
            <w:r w:rsidRPr="00A2299B">
              <w:rPr>
                <w:rFonts w:ascii="Arial" w:eastAsia="Times New Roman" w:hAnsi="Arial" w:cs="Arial"/>
                <w:color w:val="3F3F3F"/>
                <w:sz w:val="15"/>
                <w:szCs w:val="15"/>
                <w:lang w:eastAsia="sl-SI"/>
              </w:rPr>
              <w:br/>
              <w:t xml:space="preserve">40.000 EUR </w:t>
            </w:r>
            <w:r w:rsidRPr="00A2299B">
              <w:rPr>
                <w:rFonts w:ascii="Arial" w:eastAsia="Times New Roman" w:hAnsi="Arial" w:cs="Arial"/>
                <w:color w:val="3F3F3F"/>
                <w:sz w:val="15"/>
                <w:szCs w:val="15"/>
                <w:lang w:eastAsia="sl-SI"/>
              </w:rPr>
              <w:br/>
              <w:t>800 EUR</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w:t>
            </w:r>
            <w:r w:rsidRPr="00A2299B">
              <w:rPr>
                <w:rFonts w:ascii="Arial" w:eastAsia="Times New Roman" w:hAnsi="Arial" w:cs="Arial"/>
                <w:color w:val="3F3F3F"/>
                <w:sz w:val="15"/>
                <w:szCs w:val="15"/>
                <w:lang w:eastAsia="sl-SI"/>
              </w:rPr>
              <w:br/>
              <w:t>40.000 EUR</w:t>
            </w:r>
            <w:r w:rsidRPr="00A2299B">
              <w:rPr>
                <w:rFonts w:ascii="Arial" w:eastAsia="Times New Roman" w:hAnsi="Arial" w:cs="Arial"/>
                <w:color w:val="3F3F3F"/>
                <w:sz w:val="15"/>
                <w:szCs w:val="15"/>
                <w:lang w:eastAsia="sl-SI"/>
              </w:rPr>
              <w:br/>
              <w:t>20.000 EUR</w:t>
            </w:r>
            <w:r w:rsidRPr="00A2299B">
              <w:rPr>
                <w:rFonts w:ascii="Arial" w:eastAsia="Times New Roman" w:hAnsi="Arial" w:cs="Arial"/>
                <w:color w:val="3F3F3F"/>
                <w:sz w:val="15"/>
                <w:szCs w:val="15"/>
                <w:lang w:eastAsia="sl-SI"/>
              </w:rPr>
              <w:br/>
              <w:t>40.000 EUR</w:t>
            </w:r>
            <w:r w:rsidRPr="00A2299B">
              <w:rPr>
                <w:rFonts w:ascii="Arial" w:eastAsia="Times New Roman" w:hAnsi="Arial" w:cs="Arial"/>
                <w:color w:val="3F3F3F"/>
                <w:sz w:val="15"/>
                <w:szCs w:val="15"/>
                <w:lang w:eastAsia="sl-SI"/>
              </w:rPr>
              <w:br/>
              <w:t>800 EUR</w:t>
            </w:r>
          </w:p>
        </w:tc>
      </w:tr>
      <w:tr w:rsidR="00A2299B" w:rsidRPr="00A2299B" w:rsidTr="00A2299B">
        <w:trPr>
          <w:tblCellSpacing w:w="15" w:type="dxa"/>
        </w:trPr>
        <w:tc>
          <w:tcPr>
            <w:tcW w:w="0" w:type="auto"/>
            <w:tcBorders>
              <w:top w:val="single" w:sz="2" w:space="0" w:color="C1C1C1"/>
              <w:left w:val="single" w:sz="2"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b/>
                <w:bCs/>
                <w:color w:val="3F3F3F"/>
                <w:sz w:val="15"/>
                <w:szCs w:val="15"/>
                <w:lang w:eastAsia="sl-SI"/>
              </w:rPr>
              <w:t>Nezgodno zavarovanje otroka</w:t>
            </w:r>
            <w:r w:rsidRPr="00A2299B">
              <w:rPr>
                <w:rFonts w:ascii="Arial" w:eastAsia="Times New Roman" w:hAnsi="Arial" w:cs="Arial"/>
                <w:b/>
                <w:bCs/>
                <w:color w:val="3F3F3F"/>
                <w:sz w:val="15"/>
                <w:szCs w:val="15"/>
                <w:lang w:eastAsia="sl-SI"/>
              </w:rPr>
              <w:br/>
            </w:r>
            <w:r w:rsidRPr="00A2299B">
              <w:rPr>
                <w:rFonts w:ascii="Arial" w:eastAsia="Times New Roman" w:hAnsi="Arial" w:cs="Arial"/>
                <w:color w:val="3F3F3F"/>
                <w:sz w:val="15"/>
                <w:szCs w:val="15"/>
                <w:lang w:eastAsia="sl-SI"/>
              </w:rPr>
              <w:t>Smrt zaradi nezgode</w:t>
            </w:r>
            <w:r w:rsidRPr="00A2299B">
              <w:rPr>
                <w:rFonts w:ascii="Arial" w:eastAsia="Times New Roman" w:hAnsi="Arial" w:cs="Arial"/>
                <w:b/>
                <w:bCs/>
                <w:color w:val="3F3F3F"/>
                <w:sz w:val="15"/>
                <w:lang w:eastAsia="sl-SI"/>
              </w:rPr>
              <w:t>***</w:t>
            </w:r>
            <w:r w:rsidRPr="00A2299B">
              <w:rPr>
                <w:rFonts w:ascii="Arial" w:eastAsia="Times New Roman" w:hAnsi="Arial" w:cs="Arial"/>
                <w:color w:val="3F3F3F"/>
                <w:sz w:val="15"/>
                <w:szCs w:val="15"/>
                <w:vertAlign w:val="superscript"/>
                <w:lang w:eastAsia="sl-SI"/>
              </w:rPr>
              <w:br/>
            </w:r>
            <w:r w:rsidRPr="00A2299B">
              <w:rPr>
                <w:rFonts w:ascii="Arial" w:eastAsia="Times New Roman" w:hAnsi="Arial" w:cs="Arial"/>
                <w:color w:val="3F3F3F"/>
                <w:sz w:val="15"/>
                <w:szCs w:val="15"/>
                <w:lang w:eastAsia="sl-SI"/>
              </w:rPr>
              <w:t>Smrt zaradi bolezni</w:t>
            </w:r>
            <w:r w:rsidRPr="00A2299B">
              <w:rPr>
                <w:rFonts w:ascii="Arial" w:eastAsia="Times New Roman" w:hAnsi="Arial" w:cs="Arial"/>
                <w:b/>
                <w:bCs/>
                <w:color w:val="3F3F3F"/>
                <w:sz w:val="15"/>
                <w:lang w:eastAsia="sl-SI"/>
              </w:rPr>
              <w:t>***</w:t>
            </w:r>
            <w:r w:rsidRPr="00A2299B">
              <w:rPr>
                <w:rFonts w:ascii="Arial" w:eastAsia="Times New Roman" w:hAnsi="Arial" w:cs="Arial"/>
                <w:color w:val="3F3F3F"/>
                <w:sz w:val="15"/>
                <w:szCs w:val="15"/>
                <w:lang w:eastAsia="sl-SI"/>
              </w:rPr>
              <w:br/>
              <w:t>Invalidnost zaradi nezgode</w:t>
            </w:r>
            <w:r w:rsidRPr="00A2299B">
              <w:rPr>
                <w:rFonts w:ascii="Arial" w:eastAsia="Times New Roman" w:hAnsi="Arial" w:cs="Arial"/>
                <w:color w:val="3F3F3F"/>
                <w:sz w:val="15"/>
                <w:szCs w:val="15"/>
                <w:lang w:eastAsia="sl-SI"/>
              </w:rPr>
              <w:br/>
              <w:t>100-odstotna trajna invalidnost</w:t>
            </w:r>
            <w:r w:rsidRPr="00A2299B">
              <w:rPr>
                <w:rFonts w:ascii="Arial" w:eastAsia="Times New Roman" w:hAnsi="Arial" w:cs="Arial"/>
                <w:color w:val="3F3F3F"/>
                <w:sz w:val="15"/>
                <w:szCs w:val="15"/>
                <w:lang w:eastAsia="sl-SI"/>
              </w:rPr>
              <w:br/>
              <w:t>Dnevno nadomestilo za bolnišnično zdravljenje zaradi nezgode</w:t>
            </w:r>
            <w:r w:rsidRPr="00A2299B">
              <w:rPr>
                <w:rFonts w:ascii="Arial" w:eastAsia="Times New Roman" w:hAnsi="Arial" w:cs="Arial"/>
                <w:color w:val="3F3F3F"/>
                <w:sz w:val="15"/>
                <w:szCs w:val="15"/>
                <w:lang w:eastAsia="sl-SI"/>
              </w:rPr>
              <w:br/>
              <w:t xml:space="preserve">Dnevno nadomestilo za </w:t>
            </w:r>
            <w:proofErr w:type="spellStart"/>
            <w:r w:rsidRPr="00A2299B">
              <w:rPr>
                <w:rFonts w:ascii="Arial" w:eastAsia="Times New Roman" w:hAnsi="Arial" w:cs="Arial"/>
                <w:color w:val="3F3F3F"/>
                <w:sz w:val="15"/>
                <w:szCs w:val="15"/>
                <w:lang w:eastAsia="sl-SI"/>
              </w:rPr>
              <w:t>bolnišično</w:t>
            </w:r>
            <w:proofErr w:type="spellEnd"/>
            <w:r w:rsidRPr="00A2299B">
              <w:rPr>
                <w:rFonts w:ascii="Arial" w:eastAsia="Times New Roman" w:hAnsi="Arial" w:cs="Arial"/>
                <w:color w:val="3F3F3F"/>
                <w:sz w:val="15"/>
                <w:szCs w:val="15"/>
                <w:lang w:eastAsia="sl-SI"/>
              </w:rPr>
              <w:t xml:space="preserve"> zdravljenje zaradi nezgode v tujini</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5.000 EUR</w:t>
            </w:r>
            <w:r w:rsidRPr="00A2299B">
              <w:rPr>
                <w:rFonts w:ascii="Arial" w:eastAsia="Times New Roman" w:hAnsi="Arial" w:cs="Arial"/>
                <w:color w:val="3F3F3F"/>
                <w:sz w:val="15"/>
                <w:szCs w:val="15"/>
                <w:lang w:eastAsia="sl-SI"/>
              </w:rPr>
              <w:br/>
              <w:t>1.000 EUR</w:t>
            </w:r>
            <w:r w:rsidRPr="00A2299B">
              <w:rPr>
                <w:rFonts w:ascii="Arial" w:eastAsia="Times New Roman" w:hAnsi="Arial" w:cs="Arial"/>
                <w:color w:val="3F3F3F"/>
                <w:sz w:val="15"/>
                <w:szCs w:val="15"/>
                <w:lang w:eastAsia="sl-SI"/>
              </w:rPr>
              <w:br/>
              <w:t>20.000 EUR</w:t>
            </w:r>
            <w:r w:rsidRPr="00A2299B">
              <w:rPr>
                <w:rFonts w:ascii="Arial" w:eastAsia="Times New Roman" w:hAnsi="Arial" w:cs="Arial"/>
                <w:color w:val="3F3F3F"/>
                <w:sz w:val="15"/>
                <w:szCs w:val="15"/>
                <w:lang w:eastAsia="sl-SI"/>
              </w:rPr>
              <w:br/>
              <w:t>40.000 EUR</w:t>
            </w:r>
            <w:r w:rsidRPr="00A2299B">
              <w:rPr>
                <w:rFonts w:ascii="Arial" w:eastAsia="Times New Roman" w:hAnsi="Arial" w:cs="Arial"/>
                <w:color w:val="3F3F3F"/>
                <w:sz w:val="15"/>
                <w:szCs w:val="15"/>
                <w:lang w:eastAsia="sl-SI"/>
              </w:rPr>
              <w:br/>
              <w:t>5 EUR</w:t>
            </w:r>
            <w:r w:rsidRPr="00A2299B">
              <w:rPr>
                <w:rFonts w:ascii="Arial" w:eastAsia="Times New Roman" w:hAnsi="Arial" w:cs="Arial"/>
                <w:color w:val="3F3F3F"/>
                <w:sz w:val="15"/>
                <w:szCs w:val="15"/>
                <w:lang w:eastAsia="sl-SI"/>
              </w:rPr>
              <w:br/>
              <w:t>10 EUR</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w:t>
            </w:r>
          </w:p>
        </w:tc>
      </w:tr>
      <w:tr w:rsidR="00A2299B" w:rsidRPr="00A2299B" w:rsidTr="00A2299B">
        <w:trPr>
          <w:tblCellSpacing w:w="15" w:type="dxa"/>
        </w:trPr>
        <w:tc>
          <w:tcPr>
            <w:tcW w:w="0" w:type="auto"/>
            <w:tcBorders>
              <w:top w:val="single" w:sz="2" w:space="0" w:color="C1C1C1"/>
              <w:left w:val="single" w:sz="2"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b/>
                <w:bCs/>
                <w:color w:val="3F3F3F"/>
                <w:sz w:val="15"/>
                <w:szCs w:val="15"/>
                <w:lang w:eastAsia="sl-SI"/>
              </w:rPr>
              <w:t>Mesečna premija</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53,97 EUR</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58,20 EUR</w:t>
            </w:r>
          </w:p>
        </w:tc>
      </w:tr>
      <w:tr w:rsidR="00A2299B" w:rsidRPr="00A2299B" w:rsidTr="00A2299B">
        <w:trPr>
          <w:tblCellSpacing w:w="15" w:type="dxa"/>
        </w:trPr>
        <w:tc>
          <w:tcPr>
            <w:tcW w:w="0" w:type="auto"/>
            <w:tcBorders>
              <w:top w:val="single" w:sz="2" w:space="0" w:color="C1C1C1"/>
              <w:left w:val="single" w:sz="2"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Za vsa kritja bosta mesečno skupaj odštela</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w:t>
            </w:r>
          </w:p>
        </w:tc>
        <w:tc>
          <w:tcPr>
            <w:tcW w:w="0" w:type="auto"/>
            <w:tcBorders>
              <w:top w:val="single" w:sz="2" w:space="0" w:color="C1C1C1"/>
              <w:left w:val="single" w:sz="4" w:space="0" w:color="C1C1C1"/>
              <w:bottom w:val="single" w:sz="4" w:space="0" w:color="C1C1C1"/>
              <w:right w:val="single" w:sz="2" w:space="0" w:color="C1C1C1"/>
            </w:tcBorders>
            <w:shd w:val="clear" w:color="auto" w:fill="FFFFFF"/>
            <w:tcMar>
              <w:top w:w="50" w:type="dxa"/>
              <w:left w:w="125" w:type="dxa"/>
              <w:bottom w:w="50" w:type="dxa"/>
              <w:right w:w="125" w:type="dxa"/>
            </w:tcMar>
            <w:vAlign w:val="center"/>
            <w:hideMark/>
          </w:tcPr>
          <w:p w:rsidR="00A2299B" w:rsidRPr="00A2299B" w:rsidRDefault="00A2299B" w:rsidP="00A2299B">
            <w:pPr>
              <w:spacing w:before="125" w:after="0" w:line="240" w:lineRule="auto"/>
              <w:jc w:val="center"/>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112,17 EUR</w:t>
            </w:r>
          </w:p>
        </w:tc>
      </w:tr>
    </w:tbl>
    <w:p w:rsidR="00A2299B" w:rsidRPr="00A2299B" w:rsidRDefault="00A2299B" w:rsidP="00A2299B">
      <w:pPr>
        <w:shd w:val="clear" w:color="auto" w:fill="FFFFFF"/>
        <w:spacing w:before="125" w:after="240" w:line="240" w:lineRule="auto"/>
        <w:rPr>
          <w:rFonts w:ascii="Arial" w:eastAsia="Times New Roman" w:hAnsi="Arial" w:cs="Arial"/>
          <w:color w:val="3F3F3F"/>
          <w:sz w:val="15"/>
          <w:szCs w:val="15"/>
          <w:lang w:eastAsia="sl-SI"/>
        </w:rPr>
      </w:pPr>
      <w:r w:rsidRPr="00A2299B">
        <w:rPr>
          <w:rFonts w:ascii="Arial" w:eastAsia="Times New Roman" w:hAnsi="Arial" w:cs="Arial"/>
          <w:b/>
          <w:bCs/>
          <w:color w:val="3F3F3F"/>
          <w:sz w:val="15"/>
          <w:szCs w:val="15"/>
          <w:lang w:eastAsia="sl-SI"/>
        </w:rPr>
        <w:t> </w:t>
      </w:r>
      <w:r w:rsidRPr="00A2299B">
        <w:rPr>
          <w:rFonts w:ascii="Arial" w:eastAsia="Times New Roman" w:hAnsi="Arial" w:cs="Arial"/>
          <w:i/>
          <w:iCs/>
          <w:color w:val="3F3F3F"/>
          <w:sz w:val="15"/>
          <w:szCs w:val="15"/>
          <w:lang w:eastAsia="sl-SI"/>
        </w:rPr>
        <w:t>* Predvideno izplačilo s presežki ni zajamčeno, temveč je odvisno od donosa naložb v kritnem skladu življenjskih zavarovanj.</w:t>
      </w:r>
      <w:r w:rsidRPr="00A2299B">
        <w:rPr>
          <w:rFonts w:ascii="Arial" w:eastAsia="Times New Roman" w:hAnsi="Arial" w:cs="Arial"/>
          <w:i/>
          <w:iCs/>
          <w:color w:val="3F3F3F"/>
          <w:sz w:val="15"/>
          <w:szCs w:val="15"/>
          <w:lang w:eastAsia="sl-SI"/>
        </w:rPr>
        <w:br/>
        <w:t>** Pri izračunu premije za dodatno zavarovanje se upošteva boljši življenjski slog zavarovane osebe (nekadilec, ne opravlja nevarnih del in aktivnosti, ustrezno zdravstveno stanje in razmerje med telesno težo in višino). Dodatno zavarovanje za primer smrti traja 30 let.</w:t>
      </w:r>
      <w:r w:rsidRPr="00A2299B">
        <w:rPr>
          <w:rFonts w:ascii="Arial" w:eastAsia="Times New Roman" w:hAnsi="Arial" w:cs="Arial"/>
          <w:i/>
          <w:iCs/>
          <w:color w:val="3F3F3F"/>
          <w:sz w:val="15"/>
          <w:szCs w:val="15"/>
          <w:lang w:eastAsia="sl-SI"/>
        </w:rPr>
        <w:br/>
        <w:t>*** Kritje za smrt velja, ko otrok dopolni 14 let.</w:t>
      </w:r>
      <w:r w:rsidRPr="00A2299B">
        <w:rPr>
          <w:rFonts w:ascii="Arial" w:eastAsia="Times New Roman" w:hAnsi="Arial" w:cs="Arial"/>
          <w:i/>
          <w:iCs/>
          <w:color w:val="3F3F3F"/>
          <w:sz w:val="15"/>
          <w:szCs w:val="15"/>
          <w:lang w:eastAsia="sl-SI"/>
        </w:rPr>
        <w:br/>
        <w:t>****Življenjsko zavarovanje je sklenjeno za obdobje, daljše od desetih let, zato se na premijo ne zaračunava 8,5 % davka od prometa zavarovalnih poslov.</w:t>
      </w:r>
    </w:p>
    <w:p w:rsidR="00A2299B" w:rsidRPr="00A2299B" w:rsidRDefault="00A2299B" w:rsidP="00A2299B">
      <w:pPr>
        <w:numPr>
          <w:ilvl w:val="0"/>
          <w:numId w:val="3"/>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xml:space="preserve">Po treh letih se jima rodi še deklica Maja. </w:t>
      </w:r>
    </w:p>
    <w:p w:rsidR="00A2299B" w:rsidRPr="00A2299B" w:rsidRDefault="00A2299B" w:rsidP="00A2299B">
      <w:pPr>
        <w:numPr>
          <w:ilvl w:val="1"/>
          <w:numId w:val="3"/>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Ob rojstvu deklice jima AS podari 250 EUR.</w:t>
      </w:r>
    </w:p>
    <w:p w:rsidR="00A2299B" w:rsidRPr="00A2299B" w:rsidRDefault="00A2299B" w:rsidP="00A2299B">
      <w:pPr>
        <w:numPr>
          <w:ilvl w:val="0"/>
          <w:numId w:val="3"/>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xml:space="preserve">Mateja se je poškodovala na smučanju v tujini. Prišlo je do poškodbe kolena in 5 dni se je zdravila v bolnišnici. </w:t>
      </w:r>
    </w:p>
    <w:p w:rsidR="00A2299B" w:rsidRPr="00A2299B" w:rsidRDefault="00A2299B" w:rsidP="00A2299B">
      <w:pPr>
        <w:numPr>
          <w:ilvl w:val="1"/>
          <w:numId w:val="3"/>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Enkratno izplačilo zaradi hospitalizacije v primeru nezgode 800 EUR.</w:t>
      </w:r>
    </w:p>
    <w:p w:rsidR="00A2299B" w:rsidRPr="00A2299B" w:rsidRDefault="00A2299B" w:rsidP="00A2299B">
      <w:pPr>
        <w:numPr>
          <w:ilvl w:val="1"/>
          <w:numId w:val="3"/>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6 % trajna invalidnost z izplačilom v višini 2.400 EUR.</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Zavarovanje ostaja še vedno v veljavi z dogovorjenimi zavarovalnimi vsotami.</w:t>
      </w:r>
    </w:p>
    <w:p w:rsidR="00A2299B" w:rsidRPr="00A2299B" w:rsidRDefault="00A2299B" w:rsidP="00A2299B">
      <w:pPr>
        <w:numPr>
          <w:ilvl w:val="0"/>
          <w:numId w:val="4"/>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xml:space="preserve">Jan je uspešno zaključil srednjo šolo in si želi na študij v tujino. </w:t>
      </w:r>
    </w:p>
    <w:p w:rsidR="00A2299B" w:rsidRPr="00A2299B" w:rsidRDefault="00A2299B" w:rsidP="00A2299B">
      <w:pPr>
        <w:numPr>
          <w:ilvl w:val="1"/>
          <w:numId w:val="4"/>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 xml:space="preserve">Enostavno in hitro bosta vzela predujem iz naslova življenjskega zavarovanja po policah Vita </w:t>
      </w:r>
      <w:proofErr w:type="spellStart"/>
      <w:r w:rsidRPr="00A2299B">
        <w:rPr>
          <w:rFonts w:ascii="Arial" w:eastAsia="Times New Roman" w:hAnsi="Arial" w:cs="Arial"/>
          <w:b/>
          <w:bCs/>
          <w:color w:val="3F3F3F"/>
          <w:sz w:val="15"/>
          <w:lang w:eastAsia="sl-SI"/>
        </w:rPr>
        <w:t>Royal</w:t>
      </w:r>
      <w:proofErr w:type="spellEnd"/>
      <w:r w:rsidRPr="00A2299B">
        <w:rPr>
          <w:rFonts w:ascii="Arial" w:eastAsia="Times New Roman" w:hAnsi="Arial" w:cs="Arial"/>
          <w:b/>
          <w:bCs/>
          <w:color w:val="3F3F3F"/>
          <w:sz w:val="15"/>
          <w:lang w:eastAsia="sl-SI"/>
        </w:rPr>
        <w:t xml:space="preserve"> AS v višini 5.000 EUR.</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Zavarovanje ostaja še vedno v veljavi z dogovorjenimi zavarovalnimi vsotami.</w:t>
      </w:r>
    </w:p>
    <w:p w:rsidR="00A2299B" w:rsidRPr="00A2299B" w:rsidRDefault="00A2299B" w:rsidP="00A2299B">
      <w:pPr>
        <w:numPr>
          <w:ilvl w:val="0"/>
          <w:numId w:val="5"/>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xml:space="preserve">Peter je na službenem potovanju doživel prometno nesrečo. Po dolgotrajnem zdravljenju je postal 80% invalid. </w:t>
      </w:r>
    </w:p>
    <w:p w:rsidR="00A2299B" w:rsidRPr="00A2299B" w:rsidRDefault="00A2299B" w:rsidP="00A2299B">
      <w:pPr>
        <w:numPr>
          <w:ilvl w:val="1"/>
          <w:numId w:val="5"/>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Enkratno izplačilo zaradi hospitalizacije v primeru nezgode 800 EUR.</w:t>
      </w:r>
    </w:p>
    <w:p w:rsidR="00A2299B" w:rsidRPr="00A2299B" w:rsidRDefault="00A2299B" w:rsidP="00A2299B">
      <w:pPr>
        <w:numPr>
          <w:ilvl w:val="1"/>
          <w:numId w:val="5"/>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80 % trajna invalidnost z izplačilom v višini 44.000 EUR.</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Zavarovanje ostaja še vedno v veljavi z dogovorjenimi zavarovalnimi vsotami.</w:t>
      </w:r>
    </w:p>
    <w:p w:rsidR="00A2299B" w:rsidRPr="00A2299B" w:rsidRDefault="00A2299B" w:rsidP="00A2299B">
      <w:pPr>
        <w:numPr>
          <w:ilvl w:val="0"/>
          <w:numId w:val="6"/>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Peter ponovno doživi prometno nesrečo in izgubi življenje. Zavarovalnica bo Mateji in otrokom izplačala še:</w:t>
      </w:r>
    </w:p>
    <w:p w:rsidR="00A2299B" w:rsidRPr="00A2299B" w:rsidRDefault="00A2299B" w:rsidP="00A2299B">
      <w:pPr>
        <w:numPr>
          <w:ilvl w:val="1"/>
          <w:numId w:val="6"/>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zavarovalno vsoto za primer smrti 18.000 EUR*,</w:t>
      </w:r>
    </w:p>
    <w:p w:rsidR="00A2299B" w:rsidRPr="00A2299B" w:rsidRDefault="00A2299B" w:rsidP="00A2299B">
      <w:pPr>
        <w:numPr>
          <w:ilvl w:val="1"/>
          <w:numId w:val="6"/>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dodatno zavarovalno vsoto za primer smrti 10.000 EUR*,</w:t>
      </w:r>
    </w:p>
    <w:p w:rsidR="00A2299B" w:rsidRPr="00A2299B" w:rsidRDefault="00A2299B" w:rsidP="00A2299B">
      <w:pPr>
        <w:numPr>
          <w:ilvl w:val="1"/>
          <w:numId w:val="6"/>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zavarovalno vsoto za smrt zaradi nezgode 40.000 EUR,</w:t>
      </w:r>
    </w:p>
    <w:p w:rsidR="00A2299B" w:rsidRPr="00A2299B" w:rsidRDefault="00A2299B" w:rsidP="00A2299B">
      <w:pPr>
        <w:numPr>
          <w:ilvl w:val="1"/>
          <w:numId w:val="6"/>
        </w:numPr>
        <w:spacing w:before="100" w:beforeAutospacing="1" w:after="38" w:line="240" w:lineRule="auto"/>
        <w:ind w:left="1628"/>
        <w:rPr>
          <w:rFonts w:ascii="Arial" w:eastAsia="Times New Roman" w:hAnsi="Arial" w:cs="Arial"/>
          <w:color w:val="3F3F3F"/>
          <w:sz w:val="15"/>
          <w:szCs w:val="15"/>
          <w:lang w:eastAsia="sl-SI"/>
        </w:rPr>
      </w:pPr>
      <w:r w:rsidRPr="00A2299B">
        <w:rPr>
          <w:rFonts w:ascii="Arial" w:eastAsia="Times New Roman" w:hAnsi="Arial" w:cs="Arial"/>
          <w:b/>
          <w:bCs/>
          <w:color w:val="3F3F3F"/>
          <w:sz w:val="15"/>
          <w:lang w:eastAsia="sl-SI"/>
        </w:rPr>
        <w:t>zavarovalno vsoto za smrt v prometni nesreči 20.000 EUR.</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 xml:space="preserve">Skupaj bo po Petrovi zavarovalni polici izplačano </w:t>
      </w:r>
      <w:r w:rsidRPr="00A2299B">
        <w:rPr>
          <w:rFonts w:ascii="Arial" w:eastAsia="Times New Roman" w:hAnsi="Arial" w:cs="Arial"/>
          <w:b/>
          <w:bCs/>
          <w:color w:val="3F3F3F"/>
          <w:sz w:val="15"/>
          <w:lang w:eastAsia="sl-SI"/>
        </w:rPr>
        <w:t>88.000 EUR</w:t>
      </w:r>
      <w:r w:rsidRPr="00A2299B">
        <w:rPr>
          <w:rFonts w:ascii="Arial" w:eastAsia="Times New Roman" w:hAnsi="Arial" w:cs="Arial"/>
          <w:color w:val="3F3F3F"/>
          <w:sz w:val="15"/>
          <w:szCs w:val="15"/>
          <w:lang w:eastAsia="sl-SI"/>
        </w:rPr>
        <w:t>.</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Mateja in otroci so v stiski prejeli potrebno finančno pomoč, ki jim je pomagala prebroditi težko življenjsko preizkušnjo / okoliščino.</w:t>
      </w:r>
    </w:p>
    <w:p w:rsidR="00A2299B" w:rsidRPr="00A2299B" w:rsidRDefault="00A2299B" w:rsidP="00A2299B">
      <w:pPr>
        <w:numPr>
          <w:ilvl w:val="0"/>
          <w:numId w:val="7"/>
        </w:numPr>
        <w:spacing w:before="100" w:beforeAutospacing="1" w:after="38" w:line="240" w:lineRule="auto"/>
        <w:ind w:left="908"/>
        <w:rPr>
          <w:rFonts w:ascii="Arial" w:eastAsia="Times New Roman" w:hAnsi="Arial" w:cs="Arial"/>
          <w:color w:val="3F3F3F"/>
          <w:sz w:val="15"/>
          <w:szCs w:val="15"/>
          <w:lang w:eastAsia="sl-SI"/>
        </w:rPr>
      </w:pPr>
      <w:r w:rsidRPr="00A2299B">
        <w:rPr>
          <w:rFonts w:ascii="Arial" w:eastAsia="Times New Roman" w:hAnsi="Arial" w:cs="Arial"/>
          <w:b/>
          <w:bCs/>
          <w:color w:val="3F3F3F"/>
          <w:sz w:val="15"/>
          <w:szCs w:val="15"/>
          <w:lang w:eastAsia="sl-SI"/>
        </w:rPr>
        <w:t>Pri 65-ih letih se je Mateja upokojila in hkrati pridobila pravico do izplačila zavarovalne vsote za</w:t>
      </w:r>
      <w:r w:rsidRPr="00A2299B">
        <w:rPr>
          <w:rFonts w:ascii="Arial" w:eastAsia="Times New Roman" w:hAnsi="Arial" w:cs="Arial"/>
          <w:b/>
          <w:bCs/>
          <w:color w:val="3F3F3F"/>
          <w:sz w:val="15"/>
          <w:szCs w:val="15"/>
          <w:lang w:eastAsia="sl-SI"/>
        </w:rPr>
        <w:br/>
        <w:t>primer doživetja najmanj v višini 18.000 EUR s predvidenimi presežki pa 29.395 EUR</w:t>
      </w:r>
      <w:r w:rsidRPr="00A2299B">
        <w:rPr>
          <w:rFonts w:ascii="Arial" w:eastAsia="Times New Roman" w:hAnsi="Arial" w:cs="Arial"/>
          <w:color w:val="3F3F3F"/>
          <w:sz w:val="15"/>
          <w:szCs w:val="15"/>
          <w:vertAlign w:val="superscript"/>
          <w:lang w:eastAsia="sl-SI"/>
        </w:rPr>
        <w:t>**</w:t>
      </w:r>
      <w:r w:rsidRPr="00A2299B">
        <w:rPr>
          <w:rFonts w:ascii="Arial" w:eastAsia="Times New Roman" w:hAnsi="Arial" w:cs="Arial"/>
          <w:b/>
          <w:bCs/>
          <w:color w:val="3F3F3F"/>
          <w:sz w:val="15"/>
          <w:szCs w:val="15"/>
          <w:lang w:eastAsia="sl-SI"/>
        </w:rPr>
        <w:t>.</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color w:val="3F3F3F"/>
          <w:sz w:val="15"/>
          <w:szCs w:val="15"/>
          <w:lang w:eastAsia="sl-SI"/>
        </w:rPr>
        <w:t>S temi sredstvi si bo olajšala čas po upokojitvi ter otrokom pomagala pri nakupu stanovanja. V navedenem primeru bi zavarovalnica po obeh zavarovalnih policah izplačala skupno 159.250 EUR.</w:t>
      </w:r>
    </w:p>
    <w:p w:rsidR="00A2299B" w:rsidRPr="00A2299B" w:rsidRDefault="00A2299B" w:rsidP="00A2299B">
      <w:pPr>
        <w:shd w:val="clear" w:color="auto" w:fill="FFFFFF"/>
        <w:spacing w:before="125" w:after="100" w:afterAutospacing="1" w:line="240" w:lineRule="auto"/>
        <w:rPr>
          <w:rFonts w:ascii="Arial" w:eastAsia="Times New Roman" w:hAnsi="Arial" w:cs="Arial"/>
          <w:color w:val="3F3F3F"/>
          <w:sz w:val="15"/>
          <w:szCs w:val="15"/>
          <w:lang w:eastAsia="sl-SI"/>
        </w:rPr>
      </w:pPr>
      <w:r w:rsidRPr="00A2299B">
        <w:rPr>
          <w:rFonts w:ascii="Arial" w:eastAsia="Times New Roman" w:hAnsi="Arial" w:cs="Arial"/>
          <w:i/>
          <w:iCs/>
          <w:color w:val="3F3F3F"/>
          <w:sz w:val="15"/>
          <w:szCs w:val="15"/>
          <w:lang w:eastAsia="sl-SI"/>
        </w:rPr>
        <w:t>* Navedeni zavarovalni vsoti bi zavarovalnica izplačala v primeru smrti iz kakršnegakoli razloga (tudi zaradi bolezni).</w:t>
      </w:r>
      <w:r w:rsidRPr="00A2299B">
        <w:rPr>
          <w:rFonts w:ascii="Arial" w:eastAsia="Times New Roman" w:hAnsi="Arial" w:cs="Arial"/>
          <w:color w:val="3F3F3F"/>
          <w:sz w:val="15"/>
          <w:szCs w:val="15"/>
          <w:lang w:eastAsia="sl-SI"/>
        </w:rPr>
        <w:br/>
      </w:r>
      <w:r w:rsidRPr="00A2299B">
        <w:rPr>
          <w:rFonts w:ascii="Arial" w:eastAsia="Times New Roman" w:hAnsi="Arial" w:cs="Arial"/>
          <w:i/>
          <w:iCs/>
          <w:color w:val="3F3F3F"/>
          <w:sz w:val="15"/>
          <w:szCs w:val="15"/>
          <w:lang w:eastAsia="sl-SI"/>
        </w:rPr>
        <w:t>** Pri 60. letu starosti je Mateja vrnila izplačan predujem, ki je bil namenjen za Janov študij v tujini.</w:t>
      </w:r>
    </w:p>
    <w:p w:rsidR="00A2299B" w:rsidRDefault="00A2299B"/>
    <w:sectPr w:rsidR="00A2299B" w:rsidSect="00544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A2F"/>
    <w:multiLevelType w:val="multilevel"/>
    <w:tmpl w:val="4BD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71C07"/>
    <w:multiLevelType w:val="multilevel"/>
    <w:tmpl w:val="E294D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20091B"/>
    <w:multiLevelType w:val="multilevel"/>
    <w:tmpl w:val="E13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241C5E"/>
    <w:multiLevelType w:val="multilevel"/>
    <w:tmpl w:val="D6BE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B73D5"/>
    <w:multiLevelType w:val="multilevel"/>
    <w:tmpl w:val="ECC4A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7807B6"/>
    <w:multiLevelType w:val="multilevel"/>
    <w:tmpl w:val="EED4C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E16DBE"/>
    <w:multiLevelType w:val="multilevel"/>
    <w:tmpl w:val="AE3C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A2299B"/>
    <w:rsid w:val="00544770"/>
    <w:rsid w:val="00A2299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47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2299B"/>
    <w:rPr>
      <w:b/>
      <w:bCs/>
    </w:rPr>
  </w:style>
</w:styles>
</file>

<file path=word/webSettings.xml><?xml version="1.0" encoding="utf-8"?>
<w:webSettings xmlns:r="http://schemas.openxmlformats.org/officeDocument/2006/relationships" xmlns:w="http://schemas.openxmlformats.org/wordprocessingml/2006/main">
  <w:divs>
    <w:div w:id="1504516661">
      <w:bodyDiv w:val="1"/>
      <w:marLeft w:val="0"/>
      <w:marRight w:val="0"/>
      <w:marTop w:val="0"/>
      <w:marBottom w:val="0"/>
      <w:divBdr>
        <w:top w:val="none" w:sz="0" w:space="0" w:color="auto"/>
        <w:left w:val="none" w:sz="0" w:space="0" w:color="auto"/>
        <w:bottom w:val="none" w:sz="0" w:space="0" w:color="auto"/>
        <w:right w:val="none" w:sz="0" w:space="0" w:color="auto"/>
      </w:divBdr>
      <w:divsChild>
        <w:div w:id="1048337113">
          <w:marLeft w:val="0"/>
          <w:marRight w:val="0"/>
          <w:marTop w:val="0"/>
          <w:marBottom w:val="0"/>
          <w:divBdr>
            <w:top w:val="none" w:sz="0" w:space="0" w:color="auto"/>
            <w:left w:val="none" w:sz="0" w:space="0" w:color="auto"/>
            <w:bottom w:val="none" w:sz="0" w:space="0" w:color="auto"/>
            <w:right w:val="none" w:sz="0" w:space="0" w:color="auto"/>
          </w:divBdr>
          <w:divsChild>
            <w:div w:id="1965190727">
              <w:marLeft w:val="188"/>
              <w:marRight w:val="0"/>
              <w:marTop w:val="0"/>
              <w:marBottom w:val="0"/>
              <w:divBdr>
                <w:top w:val="none" w:sz="0" w:space="0" w:color="auto"/>
                <w:left w:val="none" w:sz="0" w:space="0" w:color="auto"/>
                <w:bottom w:val="none" w:sz="0" w:space="0" w:color="auto"/>
                <w:right w:val="none" w:sz="0" w:space="0" w:color="auto"/>
              </w:divBdr>
              <w:divsChild>
                <w:div w:id="872307481">
                  <w:marLeft w:val="0"/>
                  <w:marRight w:val="0"/>
                  <w:marTop w:val="50"/>
                  <w:marBottom w:val="0"/>
                  <w:divBdr>
                    <w:top w:val="single" w:sz="4" w:space="0" w:color="C9C9C9"/>
                    <w:left w:val="single" w:sz="4" w:space="6" w:color="C9C9C9"/>
                    <w:bottom w:val="single" w:sz="12" w:space="6" w:color="A5A5A5"/>
                    <w:right w:val="single" w:sz="4" w:space="6" w:color="C9C9C9"/>
                  </w:divBdr>
                  <w:divsChild>
                    <w:div w:id="2920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0930">
      <w:bodyDiv w:val="1"/>
      <w:marLeft w:val="0"/>
      <w:marRight w:val="0"/>
      <w:marTop w:val="0"/>
      <w:marBottom w:val="0"/>
      <w:divBdr>
        <w:top w:val="none" w:sz="0" w:space="0" w:color="auto"/>
        <w:left w:val="none" w:sz="0" w:space="0" w:color="auto"/>
        <w:bottom w:val="none" w:sz="0" w:space="0" w:color="auto"/>
        <w:right w:val="none" w:sz="0" w:space="0" w:color="auto"/>
      </w:divBdr>
      <w:divsChild>
        <w:div w:id="722296074">
          <w:marLeft w:val="0"/>
          <w:marRight w:val="0"/>
          <w:marTop w:val="0"/>
          <w:marBottom w:val="0"/>
          <w:divBdr>
            <w:top w:val="none" w:sz="0" w:space="0" w:color="auto"/>
            <w:left w:val="none" w:sz="0" w:space="0" w:color="auto"/>
            <w:bottom w:val="none" w:sz="0" w:space="0" w:color="auto"/>
            <w:right w:val="none" w:sz="0" w:space="0" w:color="auto"/>
          </w:divBdr>
          <w:divsChild>
            <w:div w:id="1977491483">
              <w:marLeft w:val="188"/>
              <w:marRight w:val="0"/>
              <w:marTop w:val="0"/>
              <w:marBottom w:val="0"/>
              <w:divBdr>
                <w:top w:val="none" w:sz="0" w:space="0" w:color="auto"/>
                <w:left w:val="none" w:sz="0" w:space="0" w:color="auto"/>
                <w:bottom w:val="none" w:sz="0" w:space="0" w:color="auto"/>
                <w:right w:val="none" w:sz="0" w:space="0" w:color="auto"/>
              </w:divBdr>
              <w:divsChild>
                <w:div w:id="1538545760">
                  <w:marLeft w:val="0"/>
                  <w:marRight w:val="0"/>
                  <w:marTop w:val="50"/>
                  <w:marBottom w:val="0"/>
                  <w:divBdr>
                    <w:top w:val="single" w:sz="4" w:space="0" w:color="C9C9C9"/>
                    <w:left w:val="single" w:sz="4" w:space="6" w:color="C9C9C9"/>
                    <w:bottom w:val="single" w:sz="12" w:space="6" w:color="A5A5A5"/>
                    <w:right w:val="single" w:sz="4" w:space="6" w:color="C9C9C9"/>
                  </w:divBdr>
                  <w:divsChild>
                    <w:div w:id="2083945666">
                      <w:marLeft w:val="0"/>
                      <w:marRight w:val="0"/>
                      <w:marTop w:val="0"/>
                      <w:marBottom w:val="0"/>
                      <w:divBdr>
                        <w:top w:val="none" w:sz="0" w:space="0" w:color="auto"/>
                        <w:left w:val="none" w:sz="0" w:space="0" w:color="auto"/>
                        <w:bottom w:val="none" w:sz="0" w:space="0" w:color="auto"/>
                        <w:right w:val="none" w:sz="0" w:space="0" w:color="auto"/>
                      </w:divBdr>
                      <w:divsChild>
                        <w:div w:id="1616132762">
                          <w:marLeft w:val="0"/>
                          <w:marRight w:val="0"/>
                          <w:marTop w:val="0"/>
                          <w:marBottom w:val="0"/>
                          <w:divBdr>
                            <w:top w:val="none" w:sz="0" w:space="0" w:color="auto"/>
                            <w:left w:val="none" w:sz="0" w:space="0" w:color="auto"/>
                            <w:bottom w:val="none" w:sz="0" w:space="0" w:color="auto"/>
                            <w:right w:val="none" w:sz="0" w:space="0" w:color="auto"/>
                          </w:divBdr>
                        </w:div>
                        <w:div w:id="1242444515">
                          <w:marLeft w:val="0"/>
                          <w:marRight w:val="0"/>
                          <w:marTop w:val="0"/>
                          <w:marBottom w:val="0"/>
                          <w:divBdr>
                            <w:top w:val="none" w:sz="0" w:space="0" w:color="auto"/>
                            <w:left w:val="none" w:sz="0" w:space="0" w:color="auto"/>
                            <w:bottom w:val="none" w:sz="0" w:space="0" w:color="auto"/>
                            <w:right w:val="none" w:sz="0" w:space="0" w:color="auto"/>
                          </w:divBdr>
                        </w:div>
                        <w:div w:id="1224487961">
                          <w:marLeft w:val="0"/>
                          <w:marRight w:val="0"/>
                          <w:marTop w:val="0"/>
                          <w:marBottom w:val="0"/>
                          <w:divBdr>
                            <w:top w:val="none" w:sz="0" w:space="0" w:color="auto"/>
                            <w:left w:val="none" w:sz="0" w:space="0" w:color="auto"/>
                            <w:bottom w:val="none" w:sz="0" w:space="0" w:color="auto"/>
                            <w:right w:val="none" w:sz="0" w:space="0" w:color="auto"/>
                          </w:divBdr>
                        </w:div>
                        <w:div w:id="1236166165">
                          <w:marLeft w:val="0"/>
                          <w:marRight w:val="0"/>
                          <w:marTop w:val="0"/>
                          <w:marBottom w:val="0"/>
                          <w:divBdr>
                            <w:top w:val="none" w:sz="0" w:space="0" w:color="auto"/>
                            <w:left w:val="none" w:sz="0" w:space="0" w:color="auto"/>
                            <w:bottom w:val="none" w:sz="0" w:space="0" w:color="auto"/>
                            <w:right w:val="none" w:sz="0" w:space="0" w:color="auto"/>
                          </w:divBdr>
                        </w:div>
                        <w:div w:id="1342077520">
                          <w:marLeft w:val="0"/>
                          <w:marRight w:val="0"/>
                          <w:marTop w:val="0"/>
                          <w:marBottom w:val="0"/>
                          <w:divBdr>
                            <w:top w:val="none" w:sz="0" w:space="0" w:color="auto"/>
                            <w:left w:val="none" w:sz="0" w:space="0" w:color="auto"/>
                            <w:bottom w:val="none" w:sz="0" w:space="0" w:color="auto"/>
                            <w:right w:val="none" w:sz="0" w:space="0" w:color="auto"/>
                          </w:divBdr>
                        </w:div>
                        <w:div w:id="224337849">
                          <w:marLeft w:val="0"/>
                          <w:marRight w:val="0"/>
                          <w:marTop w:val="0"/>
                          <w:marBottom w:val="0"/>
                          <w:divBdr>
                            <w:top w:val="none" w:sz="0" w:space="0" w:color="auto"/>
                            <w:left w:val="none" w:sz="0" w:space="0" w:color="auto"/>
                            <w:bottom w:val="none" w:sz="0" w:space="0" w:color="auto"/>
                            <w:right w:val="none" w:sz="0" w:space="0" w:color="auto"/>
                          </w:divBdr>
                        </w:div>
                        <w:div w:id="2117602902">
                          <w:marLeft w:val="0"/>
                          <w:marRight w:val="0"/>
                          <w:marTop w:val="0"/>
                          <w:marBottom w:val="0"/>
                          <w:divBdr>
                            <w:top w:val="none" w:sz="0" w:space="0" w:color="auto"/>
                            <w:left w:val="none" w:sz="0" w:space="0" w:color="auto"/>
                            <w:bottom w:val="none" w:sz="0" w:space="0" w:color="auto"/>
                            <w:right w:val="none" w:sz="0" w:space="0" w:color="auto"/>
                          </w:divBdr>
                        </w:div>
                        <w:div w:id="2060668613">
                          <w:marLeft w:val="0"/>
                          <w:marRight w:val="0"/>
                          <w:marTop w:val="0"/>
                          <w:marBottom w:val="0"/>
                          <w:divBdr>
                            <w:top w:val="none" w:sz="0" w:space="0" w:color="auto"/>
                            <w:left w:val="none" w:sz="0" w:space="0" w:color="auto"/>
                            <w:bottom w:val="none" w:sz="0" w:space="0" w:color="auto"/>
                            <w:right w:val="none" w:sz="0" w:space="0" w:color="auto"/>
                          </w:divBdr>
                        </w:div>
                        <w:div w:id="2044670918">
                          <w:marLeft w:val="0"/>
                          <w:marRight w:val="0"/>
                          <w:marTop w:val="0"/>
                          <w:marBottom w:val="0"/>
                          <w:divBdr>
                            <w:top w:val="none" w:sz="0" w:space="0" w:color="auto"/>
                            <w:left w:val="none" w:sz="0" w:space="0" w:color="auto"/>
                            <w:bottom w:val="none" w:sz="0" w:space="0" w:color="auto"/>
                            <w:right w:val="none" w:sz="0" w:space="0" w:color="auto"/>
                          </w:divBdr>
                        </w:div>
                        <w:div w:id="1184246945">
                          <w:marLeft w:val="0"/>
                          <w:marRight w:val="0"/>
                          <w:marTop w:val="0"/>
                          <w:marBottom w:val="0"/>
                          <w:divBdr>
                            <w:top w:val="none" w:sz="0" w:space="0" w:color="auto"/>
                            <w:left w:val="none" w:sz="0" w:space="0" w:color="auto"/>
                            <w:bottom w:val="none" w:sz="0" w:space="0" w:color="auto"/>
                            <w:right w:val="none" w:sz="0" w:space="0" w:color="auto"/>
                          </w:divBdr>
                        </w:div>
                        <w:div w:id="9790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Sandal</dc:creator>
  <cp:lastModifiedBy>Sandal</cp:lastModifiedBy>
  <cp:revision>1</cp:revision>
  <dcterms:created xsi:type="dcterms:W3CDTF">2016-06-02T11:37:00Z</dcterms:created>
  <dcterms:modified xsi:type="dcterms:W3CDTF">2016-06-02T11:39:00Z</dcterms:modified>
</cp:coreProperties>
</file>